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EA" w:rsidRDefault="006451EA" w:rsidP="006451EA">
      <w:pPr>
        <w:pStyle w:val="a3"/>
        <w:jc w:val="center"/>
        <w:rPr>
          <w:rFonts w:ascii="Verdana" w:hAnsi="Verdana"/>
          <w:color w:val="000066"/>
          <w:sz w:val="27"/>
          <w:szCs w:val="27"/>
        </w:rPr>
      </w:pPr>
      <w:r>
        <w:rPr>
          <w:rStyle w:val="a4"/>
          <w:rFonts w:ascii="Verdana" w:hAnsi="Verdana"/>
          <w:color w:val="000066"/>
          <w:sz w:val="27"/>
          <w:szCs w:val="27"/>
        </w:rPr>
        <w:t>МИНИСТЕРСТВО ЗДРАВООХРАНЕНИЯ РОССИЙСКОЙ ФЕДЕРАЦИИ</w:t>
      </w:r>
    </w:p>
    <w:p w:rsidR="006451EA" w:rsidRDefault="006451EA" w:rsidP="006451EA">
      <w:pPr>
        <w:pStyle w:val="a3"/>
        <w:jc w:val="center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 </w:t>
      </w:r>
    </w:p>
    <w:p w:rsidR="006451EA" w:rsidRDefault="006451EA" w:rsidP="006451EA">
      <w:pPr>
        <w:pStyle w:val="a3"/>
        <w:jc w:val="center"/>
        <w:rPr>
          <w:rFonts w:ascii="Verdana" w:hAnsi="Verdana"/>
          <w:color w:val="000066"/>
          <w:sz w:val="27"/>
          <w:szCs w:val="27"/>
        </w:rPr>
      </w:pPr>
      <w:r>
        <w:rPr>
          <w:rStyle w:val="a4"/>
          <w:rFonts w:ascii="Verdana" w:hAnsi="Verdana"/>
          <w:color w:val="000066"/>
          <w:sz w:val="27"/>
          <w:szCs w:val="27"/>
        </w:rPr>
        <w:t>ПРИКАЗ</w:t>
      </w:r>
    </w:p>
    <w:p w:rsidR="006451EA" w:rsidRDefault="006451EA" w:rsidP="006451EA">
      <w:pPr>
        <w:pStyle w:val="a3"/>
        <w:jc w:val="center"/>
        <w:rPr>
          <w:rFonts w:ascii="Verdana" w:hAnsi="Verdana"/>
          <w:color w:val="000066"/>
          <w:sz w:val="27"/>
          <w:szCs w:val="27"/>
        </w:rPr>
      </w:pPr>
      <w:r>
        <w:rPr>
          <w:rStyle w:val="a4"/>
          <w:rFonts w:ascii="Verdana" w:hAnsi="Verdana"/>
          <w:color w:val="000066"/>
          <w:sz w:val="27"/>
          <w:szCs w:val="27"/>
        </w:rPr>
        <w:t>от 13 декабря 2012 г. N 1040н</w:t>
      </w:r>
    </w:p>
    <w:p w:rsidR="006451EA" w:rsidRDefault="006451EA" w:rsidP="006451EA">
      <w:pPr>
        <w:pStyle w:val="a3"/>
        <w:jc w:val="center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 </w:t>
      </w:r>
    </w:p>
    <w:p w:rsidR="006451EA" w:rsidRDefault="006451EA" w:rsidP="006451EA">
      <w:pPr>
        <w:pStyle w:val="a3"/>
        <w:jc w:val="center"/>
        <w:rPr>
          <w:rFonts w:ascii="Verdana" w:hAnsi="Verdana"/>
          <w:color w:val="000066"/>
          <w:sz w:val="27"/>
          <w:szCs w:val="27"/>
        </w:rPr>
      </w:pPr>
      <w:r>
        <w:rPr>
          <w:rStyle w:val="a4"/>
          <w:rFonts w:ascii="Verdana" w:hAnsi="Verdana"/>
          <w:color w:val="000066"/>
          <w:sz w:val="27"/>
          <w:szCs w:val="27"/>
        </w:rPr>
        <w:t>ОБ УТВЕРЖДЕНИИ ПОЛОЖЕНИЯ</w:t>
      </w:r>
    </w:p>
    <w:p w:rsidR="006451EA" w:rsidRDefault="006451EA" w:rsidP="006451EA">
      <w:pPr>
        <w:pStyle w:val="a3"/>
        <w:jc w:val="center"/>
        <w:rPr>
          <w:rFonts w:ascii="Verdana" w:hAnsi="Verdana"/>
          <w:color w:val="000066"/>
          <w:sz w:val="27"/>
          <w:szCs w:val="27"/>
        </w:rPr>
      </w:pPr>
      <w:r>
        <w:rPr>
          <w:rStyle w:val="a4"/>
          <w:rFonts w:ascii="Verdana" w:hAnsi="Verdana"/>
          <w:color w:val="000066"/>
          <w:sz w:val="27"/>
          <w:szCs w:val="27"/>
        </w:rPr>
        <w:t>О ТЕРРИТОРИАЛЬНОМ ОРГАНЕ ФЕДЕРАЛЬНОЙ СЛУЖБЫ ПО НАДЗОРУ</w:t>
      </w:r>
    </w:p>
    <w:p w:rsidR="006451EA" w:rsidRDefault="006451EA" w:rsidP="006451EA">
      <w:pPr>
        <w:pStyle w:val="a3"/>
        <w:jc w:val="center"/>
        <w:rPr>
          <w:rFonts w:ascii="Verdana" w:hAnsi="Verdana"/>
          <w:color w:val="000066"/>
          <w:sz w:val="27"/>
          <w:szCs w:val="27"/>
        </w:rPr>
      </w:pPr>
      <w:r>
        <w:rPr>
          <w:rStyle w:val="a4"/>
          <w:rFonts w:ascii="Verdana" w:hAnsi="Verdana"/>
          <w:color w:val="000066"/>
          <w:sz w:val="27"/>
          <w:szCs w:val="27"/>
        </w:rPr>
        <w:t>В СФЕРЕ ЗДРАВООХРАНЕНИЯ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 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В соответствии с пунктом 5.2.1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и Положением о Федеральной службе по надзору в сфере здравоохранения, утвержденным постановлением Правительства Российской Федерации от 30 июня 2004 г. N 323 (Собрание законодательства Российской Федерации, 2004, N 28, ст. 2900, N 33, ст. 3499; 2006, N 52, ст. 5587; 2007, N 12, ст. 1414, N 35, ст. 4310; 2008, N 46, ст. 5337; 2009, N 2, ст. 244; 2009, N 6, ст. 738, N 33, ст. 4081, ст. 4086; 2010, N 26, ст. 3350, N 35, ст. 4574, N 45, ст. 5851; 2011, N 2, ст. 339, N 14, ст. 1935; 2012, N 1, ст. 171, N 20, ст. 2528, N 26, ст. 3531), приказываю: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1. Утвердить Положение о территориальном органе Федеральной службы по надзору в сфере здравоохранения согласно приложению.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2. Признать утратившими силу: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 xml:space="preserve">приказ Министерства здравоохранения и социального развития Российской Федерации от 22 ноября 2004 г. N 205 "Об утверждении Положения о территориальном органе Федеральной службы по надзору в сфере здравоохранения и социального развития по субъекту Российской Федерации (Управлении </w:t>
      </w:r>
      <w:r>
        <w:rPr>
          <w:rFonts w:ascii="Verdana" w:hAnsi="Verdana"/>
          <w:color w:val="000066"/>
          <w:sz w:val="27"/>
          <w:szCs w:val="27"/>
        </w:rPr>
        <w:lastRenderedPageBreak/>
        <w:t>Росздравнадзора по субъекту Российской Федерации)" (зарегистрирован Министерством юстиции Российской Федерации 17 декабря 2004 г. N 6198);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приказ Министерства здравоохранения и социального развития Российской Федерации от 31 декабря 2009 г. N 1049н "О внесении изменения в Положение о территориальном органе Федеральной службы по надзору в сфере здравоохранения и социального развития по субъекту Российской Федерации (Управлении Росздравнадзора по субъекту Российской Федерации), утвержденное приказом Министерства здравоохранения и социального развития Российской Федерации от 22 ноября 2004 г. N 205" (зарегистрирован Министерством юстиции Российской Федерации 28 января 2010 г. N 16114);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приказ Министерства здравоохранения и социального развития Российской Федерации от 10 августа 2010 г. N 616н "О внесении изменений в Положение о территориальном органе Федеральной службы по надзору в сфере здравоохранения и социального развития по субъекту Российской Федерации (Управлении Росздравнадзора по субъекту Российской Федерации), утвержденное приказом Министерства здравоохранения и социального развития Российской Федерации от 22 ноября 2004 г. N 205" (зарегистрирован Министерством юстиции Российской Федерации 15 сентября 2010 г. N 18452);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приказ Министерства здравоохранения и социального развития Российской Федерации от 25 октября 2010 г. N 918н "О внесении изменения в Положение о территориальном органе Федеральной службы по надзору в сфере здравоохранения и социального развития по субъекту Российской Федерации (Управлении Росздравнадзора по субъекту Российской Федерации), утвержденное приказом Министерства здравоохранения и социального развития Российской Федерации от 22 ноября 2004 г. N 205" (зарегистрирован Министерством юстиции Российской Федерации 24 ноября 2010 г. N 19032);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 xml:space="preserve">приказ Министерства здравоохранения и социального развития Российской Федерации от 28 марта 2011 г. N 242н "О внесении изменений в Положение о территориальном органе Федеральной службы по надзору в сфере здравоохранения и социального развития по субъекту Российской Федерации (Управлении Росздравнадзора по субъекту Российской Федерации), утвержденное приказом Министерства здравоохранения и </w:t>
      </w:r>
      <w:r>
        <w:rPr>
          <w:rFonts w:ascii="Verdana" w:hAnsi="Verdana"/>
          <w:color w:val="000066"/>
          <w:sz w:val="27"/>
          <w:szCs w:val="27"/>
        </w:rPr>
        <w:lastRenderedPageBreak/>
        <w:t>социального развития Российской Федерации от 22 ноября 2004 г. N 205" (зарегистрирован Министерством юстиции Российской Федерации 17 мая 2011 г. N 20765).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 </w:t>
      </w:r>
    </w:p>
    <w:p w:rsidR="006451EA" w:rsidRDefault="006451EA" w:rsidP="006451EA">
      <w:pPr>
        <w:pStyle w:val="a3"/>
        <w:jc w:val="right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Министр</w:t>
      </w:r>
    </w:p>
    <w:p w:rsidR="006451EA" w:rsidRDefault="006451EA" w:rsidP="006451EA">
      <w:pPr>
        <w:pStyle w:val="a3"/>
        <w:jc w:val="right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В.И.СКВОРЦОВА</w:t>
      </w:r>
    </w:p>
    <w:p w:rsidR="006451EA" w:rsidRDefault="006451EA" w:rsidP="006451EA">
      <w:pPr>
        <w:pStyle w:val="a3"/>
        <w:jc w:val="right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 </w:t>
      </w:r>
    </w:p>
    <w:p w:rsidR="006451EA" w:rsidRDefault="006451EA" w:rsidP="006451EA">
      <w:pPr>
        <w:pStyle w:val="a3"/>
        <w:jc w:val="right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 </w:t>
      </w:r>
    </w:p>
    <w:p w:rsidR="006451EA" w:rsidRDefault="006451EA" w:rsidP="006451EA">
      <w:pPr>
        <w:pStyle w:val="a3"/>
        <w:jc w:val="right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 </w:t>
      </w:r>
    </w:p>
    <w:p w:rsidR="006451EA" w:rsidRDefault="006451EA" w:rsidP="006451EA">
      <w:pPr>
        <w:pStyle w:val="a3"/>
        <w:jc w:val="right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 </w:t>
      </w:r>
    </w:p>
    <w:p w:rsidR="006451EA" w:rsidRDefault="006451EA" w:rsidP="006451EA">
      <w:pPr>
        <w:pStyle w:val="a3"/>
        <w:jc w:val="right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 </w:t>
      </w:r>
    </w:p>
    <w:p w:rsidR="006451EA" w:rsidRDefault="006451EA" w:rsidP="006451EA">
      <w:pPr>
        <w:pStyle w:val="a3"/>
        <w:jc w:val="right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Приложение</w:t>
      </w:r>
    </w:p>
    <w:p w:rsidR="006451EA" w:rsidRDefault="006451EA" w:rsidP="006451EA">
      <w:pPr>
        <w:pStyle w:val="a3"/>
        <w:jc w:val="right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к приказу Министерства здравоохранения</w:t>
      </w:r>
    </w:p>
    <w:p w:rsidR="006451EA" w:rsidRDefault="006451EA" w:rsidP="006451EA">
      <w:pPr>
        <w:pStyle w:val="a3"/>
        <w:jc w:val="right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Российской Федерации</w:t>
      </w:r>
    </w:p>
    <w:p w:rsidR="006451EA" w:rsidRDefault="006451EA" w:rsidP="006451EA">
      <w:pPr>
        <w:pStyle w:val="a3"/>
        <w:jc w:val="right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от 13 декабря 2012 г. N 1040н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 </w:t>
      </w:r>
    </w:p>
    <w:p w:rsidR="006451EA" w:rsidRDefault="006451EA" w:rsidP="006451EA">
      <w:pPr>
        <w:pStyle w:val="a3"/>
        <w:jc w:val="center"/>
        <w:rPr>
          <w:rFonts w:ascii="Verdana" w:hAnsi="Verdana"/>
          <w:color w:val="000066"/>
          <w:sz w:val="27"/>
          <w:szCs w:val="27"/>
        </w:rPr>
      </w:pPr>
      <w:r>
        <w:rPr>
          <w:rStyle w:val="a4"/>
          <w:rFonts w:ascii="Verdana" w:hAnsi="Verdana"/>
          <w:color w:val="000066"/>
          <w:sz w:val="27"/>
          <w:szCs w:val="27"/>
        </w:rPr>
        <w:t>ПОЛОЖЕНИЕ</w:t>
      </w:r>
    </w:p>
    <w:p w:rsidR="006451EA" w:rsidRDefault="006451EA" w:rsidP="006451EA">
      <w:pPr>
        <w:pStyle w:val="a3"/>
        <w:jc w:val="center"/>
        <w:rPr>
          <w:rFonts w:ascii="Verdana" w:hAnsi="Verdana"/>
          <w:color w:val="000066"/>
          <w:sz w:val="27"/>
          <w:szCs w:val="27"/>
        </w:rPr>
      </w:pPr>
      <w:r>
        <w:rPr>
          <w:rStyle w:val="a4"/>
          <w:rFonts w:ascii="Verdana" w:hAnsi="Verdana"/>
          <w:color w:val="000066"/>
          <w:sz w:val="27"/>
          <w:szCs w:val="27"/>
        </w:rPr>
        <w:t>О ТЕРРИТОРИАЛЬНОМ ОРГАНЕ ФЕДЕРАЛЬНОЙ СЛУЖБЫ ПО НАДЗОРУ</w:t>
      </w:r>
    </w:p>
    <w:p w:rsidR="006451EA" w:rsidRDefault="006451EA" w:rsidP="006451EA">
      <w:pPr>
        <w:pStyle w:val="a3"/>
        <w:jc w:val="center"/>
        <w:rPr>
          <w:rFonts w:ascii="Verdana" w:hAnsi="Verdana"/>
          <w:color w:val="000066"/>
          <w:sz w:val="27"/>
          <w:szCs w:val="27"/>
        </w:rPr>
      </w:pPr>
      <w:r>
        <w:rPr>
          <w:rStyle w:val="a4"/>
          <w:rFonts w:ascii="Verdana" w:hAnsi="Verdana"/>
          <w:color w:val="000066"/>
          <w:sz w:val="27"/>
          <w:szCs w:val="27"/>
        </w:rPr>
        <w:t>В СФЕРЕ ЗДРАВООХРАНЕНИЯ</w:t>
      </w:r>
    </w:p>
    <w:p w:rsidR="006451EA" w:rsidRDefault="006451EA" w:rsidP="006451EA">
      <w:pPr>
        <w:pStyle w:val="a3"/>
        <w:jc w:val="center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 </w:t>
      </w:r>
    </w:p>
    <w:p w:rsidR="006451EA" w:rsidRDefault="006451EA" w:rsidP="006451EA">
      <w:pPr>
        <w:pStyle w:val="a3"/>
        <w:jc w:val="center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I. Общие положения</w:t>
      </w:r>
    </w:p>
    <w:p w:rsidR="006451EA" w:rsidRDefault="006451EA" w:rsidP="006451EA">
      <w:pPr>
        <w:pStyle w:val="a3"/>
        <w:jc w:val="center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 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 xml:space="preserve">1. Территориальный орган Федеральной службы по надзору в сфере здравоохранения (далее соответственно - территориальный орган, Росздравнадзор) осуществляет функции </w:t>
      </w:r>
      <w:r>
        <w:rPr>
          <w:rFonts w:ascii="Verdana" w:hAnsi="Verdana"/>
          <w:color w:val="000066"/>
          <w:sz w:val="27"/>
          <w:szCs w:val="27"/>
        </w:rPr>
        <w:lastRenderedPageBreak/>
        <w:t>по контролю и надзору в сфере здравоохранения на территории соответствующего субъекта Российской Федерации.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2. На территориях Ханты-Мансийского автономного округа - Югра и Ямало-Ненецкого автономного округа функции по контролю и надзору в сфере здравоохранения осуществляются одним территориальным органом.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3. Территориальный орган является юридическим лицом, имеет круглую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лицевой счет в органе федерального казначейства.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4. Имущество территориального органа является федеральной собственностью и находится в оперативном управлении.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5. Территориальный орган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Положением о Министерстве здравоохранения Российской Федерации, утвержденным постановлением Правительства Российской Федерации от 19 июня 2012 г. N 608 (Собрание законодательства Российской Федерации, 2012, N 26, ст. 3526), Положением о Федеральной службе по надзору в сфере здравоохранения, утвержденным постановлением Правительства Российской Федерации от 30 июня 2004 г. N 323 (Собрание законодательства Российской Федерации, 2004, N 28, ст. 2900, N 33, ст. 3499; 2006, N 52, ст. 5587; 2007, N 12, ст. 1414, N 35, ст. 4310; 2008, N 46, ст. 5337; 2009, N 2, ст. 244; 2009, N 6, ст. 738, N 33, ст. 4081, ст. 4086; 2010, N 26, ст. 3350, N 35, ст. 4574, N 45, ст. 5851; 2011, N 2, ст. 339, N 14, ст. 1935; 2012, N 1, ст. 171, N 20, ст. 2528, N 26, ст. 3531), нормативными правовыми актами Министерства здравоохранения Российской Федерации, актами Росздравнадзора и настоящим Положением.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6. При осуществлении своей деятельности территориальный орган взаимодействует с иными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lastRenderedPageBreak/>
        <w:t> </w:t>
      </w:r>
    </w:p>
    <w:p w:rsidR="006451EA" w:rsidRDefault="006451EA" w:rsidP="006451EA">
      <w:pPr>
        <w:pStyle w:val="a3"/>
        <w:jc w:val="center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II. Полномочия</w:t>
      </w:r>
    </w:p>
    <w:p w:rsidR="006451EA" w:rsidRDefault="006451EA" w:rsidP="006451EA">
      <w:pPr>
        <w:pStyle w:val="a3"/>
        <w:jc w:val="center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 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7. Территориальный орган: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7.1. осуществляет: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7.1.1. государственный контроль за обращением медицинских изделий посредством: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7.1.1.1. проведения проверок соблюдения субъектами обращения медицинских изделий правил в сфере обращения медицинских изделий;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7.1.1.2. проведения мониторинга безопасности медицинских изделий;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7.1.2. государственный контроль качества и безопасности медицинской деятельности посредством проведения проверок: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7.1.2.1. соблюдения органами государственной власти Российской Федерации, органами местного самоуправления, государственными внебюджетными фондами, медицинскими организациями и фармацевтическими организациями, а также индивидуальными предпринимателями, осуществляющими медицинскую и фармацевтическую деятельность, прав граждан в сфере здравоохранения;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7.1.2.2. соблюдения медицинскими организациями и индивидуальными предпринимателями, осуществляющими медицинскую деятельность, порядков оказания медицинской помощи и стандартов медицинской помощи;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7.1.2.3. соблюдения медицинскими организациями и индивидуальными предпринимателями, осуществляющими медицинскую деятельность, порядков проведения медицинских экспертиз, медицинских осмотров и медицинских освидетельствований;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 xml:space="preserve">7.1.2.4. соблюдения медицинскими организациями и индивидуальными предпринимателями, осуществляющими медицинскую деятельность, требований по безопасному </w:t>
      </w:r>
      <w:r>
        <w:rPr>
          <w:rFonts w:ascii="Verdana" w:hAnsi="Verdana"/>
          <w:color w:val="000066"/>
          <w:sz w:val="27"/>
          <w:szCs w:val="27"/>
        </w:rPr>
        <w:lastRenderedPageBreak/>
        <w:t>применению и эксплуатации медицинских изделий и их утилизации (уничтожению);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7.1.2.5.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законодательством Российской Федерации;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7.1.2.6. организации и осуществления ведомственного контроля и внутреннего контроля качества и безопасности медицинской деятельности соответственно федеральными органами исполнительной власти, органами исполнительной власти субъектов Российской Федерации и органами, организациями государственной, муниципальной и частной систем здравоохранения;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7.1.3. государственный контроль при обращении лекарственных средств посредством: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7.1.3.1. проведения проверок соблюдения субъектами обращения лекарственных средств правил лабораторной практики и правил клинической практики при проведении доклинических исследований лекарственных средств и клинических исследований лекарственных препаратов для медицинского применения, правил организации производства и контроля качества лекарственных средств, правил оптовой торговли лекарственными средствами, правил отпуска лекарственных препаратов, правил изготовления и отпуска лекарственных препаратов, правил хранения лекарственных средств, правил уничтожения лекарственных средств;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7.1.3.2. контроля качества лекарственных средств при гражданском обороте;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7.1.3.3. проведения мониторинга безопасности лекарственных препаратов;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7.1.4. государственный контроль за применением цен на лекарственные препараты, включенные в перечень жизненно необходимых и важнейших лекарственных препаратов;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7.1.5. контроль за: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lastRenderedPageBreak/>
        <w:t>7.1.5.1. реализацией региональных программ модернизации здравоохранения субъектов Российской Федерации и мероприятий по модернизации государственных учреждений, оказывающих медицинскую помощь, государственных учреждений, реализующих мероприятия по внедрению информационных систем в здравоохранение;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7.1.5.2. достоверностью первичных статистических данных, предоставляемых медицинскими организациями и индивидуальными предпринимателями, осуществляющими медицинскую деятельность;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7.2. проводит: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7.2.1. мониторинг ассортимента и цен на жизненно необходимые и важнейшие лекарственные препараты;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7.2.2. мониторинг безопасности медицинских изделий, регистрации побочных действий, нежелательных реакций при применении медицинских изделий, фактов и обстоятельств, создающих угрозу причинения вреда жизни и здоровью людей при обращении зарегистрированных медицинских изделий;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7.3. осуществляет в соответствии с законодательством Российской Федерации лицензирование следующих видов деятельности: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7.3.1.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в отношении: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7.3.1.1. медицинских и иных организаций, подведомственных федеральным органам исполнительной власти, государственным академиям наук;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7.3.1.2. медицинских и иных организаций, подведомственных органам исполнительной власти субъектов Российской Федерации, за исключением медицинских организаций, находящихся по состоянию на 1 января 2011 г. в муниципальной собственности, - по 31 декабря 2012 г. включительно;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lastRenderedPageBreak/>
        <w:t>7.3.1.3. медицинских и иных организаций, осуществляющих деятельность по оказанию высокотехнологичной медицинской помощи;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7.3.2. фармацевтической деятельности, осуществляемой аптечными организациями, подведомственными федеральным органам исполнительной власти, государственным академиям наук;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7.3.3. деятельности по обороту наркотических средств и психотропных веществ, внесенных в Списки I, II, III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1998, N 27, ст. 3198; 2004, N 8, ст. 663, N 47, ст. 4666; 2006, N 29, ст. 3253; 2007, N 28, ст. 3439; 2009, N 26, ст. 3183, N 52, ст. 6572; 2010, N 3, ст. 314, N 17, ст. 2100, N 24, ст. 3035, N 28, ст. 3703, N 31, ст. 4271, N 45, ст. 5864, N 50, ст. 6696, ст. 6720; 2011, N 10, ст. 1390, N 12, ст. 1635, N 29, ст. 4466, ст. 4473, N 42, ст. 5921, N 51, ст. 7534; 2012, N 10, ст. 1232, N 11, ст. 1295, N 19, ст. 2400; N 22, ст. 2864, N 37, ст. 5002) (далее - Перечень), осуществляемой аптечными организациями, подведомственными федеральным органам исполнительной власти, государственным академиям наук;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7.3.4. деятельности по обороту прекурсоров наркотических средств и психотропных веществ, внесенных в таблицу I Списка IV Перечня, за исключением организаций - производителей лекарственных средств;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7.4. выдает сертификат специалиста лицам, получившим медицинское или фармацевтическое образование в иностранных государствах;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7.5. размещает по результатам мониторинга безопасности лекарственных препаратов, находящихся в обращении на территории Российской Федерации, на своем официальном сайте в сети Интернет информацию о принятых решениях о внесении изменений в инструкцию по применению лекарственного препарата, о приостановлении применения лекарственного препарата, об изъятии из обращения лекарственного препарата или о возобновлении применения лекарственного препарата;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lastRenderedPageBreak/>
        <w:t>7.6. осуществляет в установленном порядке проверку деятельности организаций здравоохранения, аптечных организаций, других организаций и индивидуальных предпринимателей, осуществляющих деятельность в сфере здравоохранения;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7.7. принимает участие в пределах компетенции в ведении федеральных информационных систем, федеральных баз данных в сфере здравоохранения, в том числе в обеспечении конфиденциальности содержащихся в них персональных данных в соответствии с законодательством Российской Федерации;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7.8. осуществляет: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7.8.1. представление интересов территориального органа в арбитражных судах и судах общей юрисдикции;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7.8.2. представление на основании доверенности, выданной в установленном порядке, интересов Росздравнадзора в арбитражных судах и судах общей юрисдикции и перед третьими лицами;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7.9. обеспечивает в пределах своей компетенции защиту сведений, составляющих государственную тайну;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7.10. организует прием граждан, обеспечивает своевременное и полное рассмотрение обращений граждан, принимает по ним решения и направляет заявителям ответы в установленный законодательством Российской Федерации срок;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7.11. обеспечивает мобилизационную подготовку территориального органа;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7.12. осуществляет организацию и ведение гражданской обороны в территориальном органе;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7.13. проведение в установленном порядке конкурсов и заключение государственных контрактов на размещение заказов на поставку товаров, выполнение работ, оказание услуг для нужд территориального органа;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 xml:space="preserve">7.14. по результатам осуществления мониторинга безопасности медицинских изделий при получении и подтверждении информации о побочных действиях, не указанных в инструкции по применению или руководстве по эксплуатации медицинского </w:t>
      </w:r>
      <w:r>
        <w:rPr>
          <w:rFonts w:ascii="Verdana" w:hAnsi="Verdana"/>
          <w:color w:val="000066"/>
          <w:sz w:val="27"/>
          <w:szCs w:val="27"/>
        </w:rPr>
        <w:lastRenderedPageBreak/>
        <w:t>изделия,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зарегистрированных медицинских изделий, направляет соответствующую информацию в Росздравнадзор;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7.15. 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8. Территориальный орган в целях реализации полномочий в установленной сфере деятельности имеет право: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8.1. организовывать проведение необходимых проверок, исследований, испытаний, экспертиз, анализа и оценок, а также научных исследований по вопросам осуществления государственного контроля (надзора) в установленной сфере деятельности;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8.2. запрашивать и получать сведения, необходимые для принятия решений по вопросам, отнесенным к компетенции территориального органа;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8.3. давать юридическим и физическим лицам разъяснения по вопросам, отнесенным к компетенции территориального органа;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8.4. привлекать в установленном порядке для осуществления своих полномочий научные, общественные и иные организации, ученых и специалистов;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8.5.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и/или ликвидацию последствий нарушений юридическими лицами и гражданами обязательных требований в установленной сфере деятельности, с целью пресечения фактов нарушения законодательства Российской Федерации;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8.6. создавать совещательные и экспертные органы (советы, комиссии, группы, коллегии) в установленной сфере деятельности.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lastRenderedPageBreak/>
        <w:t>9. Территориальный орган не вправе осуществлять нормативно-правовое регулирование в установленной сфере деятельности, а также управление государственным имуществом и оказание платных услуг.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Установленные ограничения не распространяются на полномочия руководителя территориального органа по управлению имуществом территориального органа, закрепленным за ним на праве оперативного управления, решению кадровых вопросов и вопросов организации деятельности территориального органа.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10. Полномочия лица, представляющего интересы территориального органа в суде, подтверждаются доверенностью, выданной руководителем территориального органа или лицом, исполняющим его обязанности. Полномочия руководителя территориального органа подтверждаются настоящим Положением и копией приказа о его назначении руководителем территориального органа.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 </w:t>
      </w:r>
    </w:p>
    <w:p w:rsidR="006451EA" w:rsidRDefault="006451EA" w:rsidP="006451EA">
      <w:pPr>
        <w:pStyle w:val="a3"/>
        <w:jc w:val="center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III. Организация деятельности</w:t>
      </w:r>
    </w:p>
    <w:p w:rsidR="006451EA" w:rsidRDefault="006451EA" w:rsidP="006451EA">
      <w:pPr>
        <w:pStyle w:val="a3"/>
        <w:jc w:val="center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 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11. Территориальный орган возглавляет руководитель, назначаемый на должность и освобождаемый от должности Министром здравоохранения Российской Федерации по представлению руководителя Росздравнадзора.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Руководитель территориального органа имеет заместителей, полномочия которых определяются должностными инструкциями. Заместители руководителя территориального органа назначаются на должность и освобождаются от должности руководителем Росздравнадзора.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12. Руководитель территориального органа: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12.1. осуществляет руководство территориальным органом и несет персональную ответственность за осуществление возложенных на территориальный орган полномочий;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lastRenderedPageBreak/>
        <w:t>12.2. без доверенности действует от имени территориального органа, представляет интересы, распоряжается в установленном порядке средствами и имуществом территориального органа;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12.3. представляет руководителю Росздравнадзора: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12.3.1. предложения о предельной численности работников территориального органа, структуре, штатном расписании и фонде оплаты труда работников территориального органа;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12.3.2. проект ежегодного плана и прогнозные показатели деятельности территориального органа, а также отчет об их исполнении;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12.3.3. предложения по формированию проекта бюджета территориального органа;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12.4. назначает на должность и освобождает от должности работников территориального органа;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12.5. утверждает, в пределах установленной численности работников территориального органа, структуру, штатное расписание и размер оплаты труда работников территориального органа, организует ведение бухгалтерского учета и отчетности.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13. Руководитель территориального органа на основании и во исполнение Конституции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Министерства здравоохранения Российской Федерации и Росздравнадзора издает приказы по вопросам, отнесенным к полномочиям территориального органа.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14. Руководитель территориального органа издает приказы о поощрении и дисциплинарном взыскании работников территориального органа.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15. Территориальный орган создается в соответствии с приказом Росздравнадзора.</w:t>
      </w:r>
    </w:p>
    <w:p w:rsidR="006451EA" w:rsidRDefault="006451EA" w:rsidP="006451EA">
      <w:pPr>
        <w:pStyle w:val="a3"/>
        <w:jc w:val="center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 </w:t>
      </w:r>
    </w:p>
    <w:p w:rsidR="006451EA" w:rsidRDefault="006451EA" w:rsidP="006451EA">
      <w:pPr>
        <w:pStyle w:val="a3"/>
        <w:jc w:val="center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IV. Финансово-хозяйственная деятельность, учет и отчетность</w:t>
      </w:r>
    </w:p>
    <w:p w:rsidR="006451EA" w:rsidRDefault="006451EA" w:rsidP="006451EA">
      <w:pPr>
        <w:pStyle w:val="a3"/>
        <w:jc w:val="center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территориального органа</w:t>
      </w:r>
    </w:p>
    <w:p w:rsidR="006451EA" w:rsidRDefault="006451EA" w:rsidP="006451EA">
      <w:pPr>
        <w:pStyle w:val="a3"/>
        <w:jc w:val="center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lastRenderedPageBreak/>
        <w:t> 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16. Территориальный орган осуществляет функции получателя средств федерального бюджета, предусмотренные бюджетной росписью на текущий год для реализации территориальным органом возложенных на него полномочий.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17. Территориальный орган готовит предложения по формированию бюджета территориального органа на следующий финансовый год, обосновывая минимальную бюджетную обеспеченность, и представляет проект бюджета в установленный срок в Росздравнадзор.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18. Территориальный орган организует профессиональную подготовку работников территориального органа, их переподготовку, повышение квалификации и стажировку.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19. Территориальный орган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образующихся в его деятельности.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20. Территориальный орган представляет в Росздравнадзор статистическую отчетность и аналитические материалы.</w:t>
      </w:r>
    </w:p>
    <w:p w:rsidR="006451EA" w:rsidRDefault="006451EA" w:rsidP="006451EA">
      <w:pPr>
        <w:pStyle w:val="a3"/>
        <w:rPr>
          <w:rFonts w:ascii="Verdana" w:hAnsi="Verdana"/>
          <w:color w:val="000066"/>
          <w:sz w:val="27"/>
          <w:szCs w:val="27"/>
        </w:rPr>
      </w:pPr>
      <w:r>
        <w:rPr>
          <w:rFonts w:ascii="Verdana" w:hAnsi="Verdana"/>
          <w:color w:val="000066"/>
          <w:sz w:val="27"/>
          <w:szCs w:val="27"/>
        </w:rPr>
        <w:t>21. Финансирование территориального органа осуществляется за счет средств, выделяемых главным распорядителем бюджета - Росздравнадзором.</w:t>
      </w:r>
    </w:p>
    <w:p w:rsidR="002B3D55" w:rsidRDefault="006451EA">
      <w:bookmarkStart w:id="0" w:name="_GoBack"/>
      <w:bookmarkEnd w:id="0"/>
    </w:p>
    <w:sectPr w:rsidR="002B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6D"/>
    <w:rsid w:val="00281E6D"/>
    <w:rsid w:val="002C1FCF"/>
    <w:rsid w:val="006451EA"/>
    <w:rsid w:val="00B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1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1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3108</Words>
  <Characters>17719</Characters>
  <Application>Microsoft Office Word</Application>
  <DocSecurity>0</DocSecurity>
  <Lines>147</Lines>
  <Paragraphs>41</Paragraphs>
  <ScaleCrop>false</ScaleCrop>
  <Company/>
  <LinksUpToDate>false</LinksUpToDate>
  <CharactersWithSpaces>20786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3</cp:revision>
  <dcterms:created xsi:type="dcterms:W3CDTF">2015-12-13T13:19:00Z</dcterms:created>
  <dcterms:modified xsi:type="dcterms:W3CDTF">2015-12-13T13:19:00Z</dcterms:modified>
</cp:coreProperties>
</file>